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64" w:rsidRPr="00A71535" w:rsidRDefault="00886A44" w:rsidP="001D5364">
      <w:pPr>
        <w:pStyle w:val="Title"/>
        <w:rPr>
          <w:lang w:val="pt-BR"/>
        </w:rPr>
      </w:pPr>
      <w:r w:rsidRPr="00A71535">
        <w:rPr>
          <w:rFonts w:ascii="Georgia" w:eastAsia="Georgia" w:hAnsi="Georgia" w:cs="Georgia"/>
          <w:bCs/>
          <w:iCs/>
          <w:lang w:val="pt-BR"/>
        </w:rPr>
        <w:t>Material B</w:t>
      </w:r>
    </w:p>
    <w:p w:rsidR="001D5364" w:rsidRPr="00A71535" w:rsidRDefault="00886A44" w:rsidP="00CD0055">
      <w:pPr>
        <w:pStyle w:val="Subtitle"/>
        <w:rPr>
          <w:sz w:val="56"/>
          <w:szCs w:val="56"/>
          <w:lang w:val="pt-BR"/>
        </w:rPr>
      </w:pPr>
      <w:r w:rsidRPr="00A71535">
        <w:rPr>
          <w:rFonts w:ascii="Georgia" w:eastAsia="Georgia" w:hAnsi="Georgia" w:cs="Georgia"/>
          <w:sz w:val="56"/>
          <w:szCs w:val="56"/>
          <w:lang w:val="pt-BR"/>
        </w:rPr>
        <w:t>Folha de exercícios com o orçamento do museu e planilha</w:t>
      </w:r>
    </w:p>
    <w:p w:rsidR="00555FE1" w:rsidRPr="00A71535" w:rsidRDefault="00886A44" w:rsidP="00555FE1">
      <w:pPr>
        <w:pStyle w:val="BodyText"/>
        <w:rPr>
          <w:lang w:val="pt-BR"/>
        </w:rPr>
      </w:pPr>
      <w:r w:rsidRPr="00A71535">
        <w:rPr>
          <w:rFonts w:eastAsia="Georgia" w:cs="Georgia"/>
          <w:lang w:val="pt-BR"/>
        </w:rPr>
        <w:t>Imaginem que vocês trabalham em um pequeno museu. Vocês e seus colegas acabaram de concluir o orçamento anual, e tudo est</w:t>
      </w:r>
      <w:r w:rsidR="00A150FB" w:rsidRPr="00A71535">
        <w:rPr>
          <w:rFonts w:eastAsia="Georgia" w:cs="Georgia"/>
          <w:lang w:val="pt-BR"/>
        </w:rPr>
        <w:t xml:space="preserve">ava perfeitamente equilibrado. </w:t>
      </w:r>
      <w:r w:rsidRPr="00A71535">
        <w:rPr>
          <w:rFonts w:eastAsia="Georgia" w:cs="Georgia"/>
          <w:lang w:val="pt-BR"/>
        </w:rPr>
        <w:t>Então, vocês são avisados que duas de suas fontes esperadas de fundos não serão realizadas. Vocês perderão a bolsa do governo, no valor de US$ 35.000, e também não conseguirão a bolsa corporativa de US$ 25.000 com que estavam contando.</w:t>
      </w:r>
    </w:p>
    <w:p w:rsidR="00555FE1" w:rsidRPr="00A71535" w:rsidRDefault="00886A44" w:rsidP="00555FE1">
      <w:pPr>
        <w:pStyle w:val="ListNumber"/>
        <w:rPr>
          <w:lang w:val="pt-BR"/>
        </w:rPr>
      </w:pPr>
      <w:r w:rsidRPr="00A71535">
        <w:rPr>
          <w:rFonts w:eastAsia="Georgia" w:cs="Georgia"/>
          <w:lang w:val="pt-BR"/>
        </w:rPr>
        <w:t>Qual é o valor total que vocês precisam cortar em seu orçamento?</w:t>
      </w:r>
    </w:p>
    <w:p w:rsidR="00555FE1" w:rsidRPr="00A71535" w:rsidRDefault="00886A44" w:rsidP="00555FE1">
      <w:pPr>
        <w:pStyle w:val="ListNumber"/>
        <w:rPr>
          <w:lang w:val="pt-BR"/>
        </w:rPr>
      </w:pPr>
      <w:r w:rsidRPr="00A71535">
        <w:rPr>
          <w:rFonts w:eastAsia="Georgia" w:cs="Georgia"/>
          <w:lang w:val="pt-BR"/>
        </w:rPr>
        <w:t xml:space="preserve">Revisem o orçamento do museu. </w:t>
      </w:r>
      <w:r w:rsidR="00A150FB" w:rsidRPr="00A71535">
        <w:rPr>
          <w:rFonts w:eastAsia="Georgia" w:cs="Georgia"/>
          <w:lang w:val="pt-BR"/>
        </w:rPr>
        <w:t>Qual é o novo total da receita?</w:t>
      </w:r>
    </w:p>
    <w:p w:rsidR="00555FE1" w:rsidRPr="00A71535" w:rsidRDefault="00886A44" w:rsidP="00555FE1">
      <w:pPr>
        <w:pStyle w:val="ListNumber"/>
        <w:rPr>
          <w:lang w:val="pt-BR"/>
        </w:rPr>
      </w:pPr>
      <w:r w:rsidRPr="00A71535">
        <w:rPr>
          <w:rFonts w:eastAsia="Georgia" w:cs="Georgia"/>
          <w:lang w:val="pt-BR"/>
        </w:rPr>
        <w:t xml:space="preserve">Criem uma possível estratégia para cortar custos, aumentar a receita de outras fontes ou implantar uma combinação de ambos. </w:t>
      </w:r>
    </w:p>
    <w:p w:rsidR="00555FE1" w:rsidRPr="00A71535" w:rsidRDefault="00886A44" w:rsidP="00555FE1">
      <w:pPr>
        <w:pStyle w:val="ListNumber"/>
        <w:rPr>
          <w:lang w:val="pt-BR"/>
        </w:rPr>
      </w:pPr>
      <w:r w:rsidRPr="00A71535">
        <w:rPr>
          <w:rFonts w:eastAsia="Georgia" w:cs="Georgia"/>
          <w:lang w:val="pt-BR"/>
        </w:rPr>
        <w:t>Desenvolvam um plano para equilibrar o orçamento. Listem cada nova fonte de renda, o valor para cada nova fonte e o novo saldo da receita. (Veja o exemplo a seguir).</w:t>
      </w:r>
    </w:p>
    <w:p w:rsidR="00555FE1" w:rsidRPr="00A71535" w:rsidRDefault="00886A44" w:rsidP="00555FE1">
      <w:pPr>
        <w:pStyle w:val="BodyText"/>
        <w:rPr>
          <w:lang w:val="pt-BR"/>
        </w:rPr>
      </w:pPr>
      <w:r w:rsidRPr="00A71535">
        <w:rPr>
          <w:rFonts w:eastAsia="Georgia" w:cs="Georgia"/>
          <w:lang w:val="pt-BR"/>
        </w:rPr>
        <w:t>Exemplo:</w:t>
      </w:r>
    </w:p>
    <w:tbl>
      <w:tblPr>
        <w:tblStyle w:val="DP-Plain1"/>
        <w:tblW w:w="0" w:type="auto"/>
        <w:tblBorders>
          <w:insideH w:val="nil"/>
        </w:tblBorders>
        <w:tblLook w:val="04A0"/>
      </w:tblPr>
      <w:tblGrid>
        <w:gridCol w:w="2511"/>
        <w:gridCol w:w="1611"/>
        <w:gridCol w:w="4770"/>
      </w:tblGrid>
      <w:tr w:rsidR="00571004" w:rsidRPr="00A71535" w:rsidTr="00AA488E">
        <w:tc>
          <w:tcPr>
            <w:cnfStyle w:val="001000000000"/>
            <w:tcW w:w="2511" w:type="dxa"/>
          </w:tcPr>
          <w:p w:rsidR="0098776A" w:rsidRPr="00A71535" w:rsidRDefault="00886A44" w:rsidP="0098776A">
            <w:pPr>
              <w:pStyle w:val="BodyText"/>
              <w:rPr>
                <w:i/>
                <w:lang w:val="pt-BR"/>
              </w:rPr>
            </w:pPr>
            <w:r w:rsidRPr="00A71535">
              <w:rPr>
                <w:rFonts w:eastAsia="Georgia" w:cs="Georgia"/>
                <w:i/>
                <w:iCs/>
                <w:szCs w:val="20"/>
                <w:lang w:val="pt-BR"/>
              </w:rPr>
              <w:t>Nova fonte de renda</w:t>
            </w:r>
          </w:p>
        </w:tc>
        <w:tc>
          <w:tcPr>
            <w:tcW w:w="1611" w:type="dxa"/>
          </w:tcPr>
          <w:p w:rsidR="0098776A" w:rsidRPr="00A71535" w:rsidRDefault="00886A44" w:rsidP="00932E6E">
            <w:pPr>
              <w:pStyle w:val="BodyText"/>
              <w:jc w:val="right"/>
              <w:cnfStyle w:val="000000000000"/>
              <w:rPr>
                <w:i/>
                <w:lang w:val="pt-BR"/>
              </w:rPr>
            </w:pPr>
            <w:r w:rsidRPr="00A71535">
              <w:rPr>
                <w:rFonts w:eastAsia="Georgia" w:cs="Georgia"/>
                <w:i/>
                <w:iCs/>
                <w:color w:val="auto"/>
                <w:szCs w:val="20"/>
                <w:lang w:val="pt-BR"/>
              </w:rPr>
              <w:t>Valor</w:t>
            </w:r>
          </w:p>
        </w:tc>
        <w:tc>
          <w:tcPr>
            <w:tcW w:w="4770" w:type="dxa"/>
          </w:tcPr>
          <w:p w:rsidR="0098776A" w:rsidRPr="00A71535" w:rsidRDefault="00886A44" w:rsidP="00932E6E">
            <w:pPr>
              <w:pStyle w:val="BodyText"/>
              <w:jc w:val="right"/>
              <w:cnfStyle w:val="000000000000"/>
              <w:rPr>
                <w:i/>
                <w:lang w:val="pt-BR"/>
              </w:rPr>
            </w:pPr>
            <w:r w:rsidRPr="00A71535">
              <w:rPr>
                <w:rFonts w:eastAsia="Georgia" w:cs="Georgia"/>
                <w:i/>
                <w:iCs/>
                <w:color w:val="auto"/>
                <w:szCs w:val="20"/>
                <w:lang w:val="pt-BR"/>
              </w:rPr>
              <w:t>Novo saldo da receita</w:t>
            </w:r>
          </w:p>
        </w:tc>
      </w:tr>
      <w:tr w:rsidR="00571004" w:rsidRPr="00A71535" w:rsidTr="00AA488E">
        <w:tc>
          <w:tcPr>
            <w:cnfStyle w:val="001000000000"/>
            <w:tcW w:w="2511" w:type="dxa"/>
          </w:tcPr>
          <w:p w:rsidR="0098776A" w:rsidRPr="00A71535" w:rsidRDefault="00886A44" w:rsidP="000C0590">
            <w:pPr>
              <w:pStyle w:val="BodyText"/>
              <w:rPr>
                <w:lang w:val="pt-BR"/>
              </w:rPr>
            </w:pPr>
            <w:r w:rsidRPr="00A71535">
              <w:rPr>
                <w:rFonts w:eastAsia="Georgia" w:cs="Georgia"/>
                <w:szCs w:val="20"/>
                <w:lang w:val="pt-BR"/>
              </w:rPr>
              <w:t>Doação do banco local</w:t>
            </w:r>
          </w:p>
        </w:tc>
        <w:tc>
          <w:tcPr>
            <w:tcW w:w="1611" w:type="dxa"/>
          </w:tcPr>
          <w:p w:rsidR="0098776A" w:rsidRPr="00A71535" w:rsidRDefault="00886A44" w:rsidP="00932E6E">
            <w:pPr>
              <w:pStyle w:val="BodyText"/>
              <w:jc w:val="right"/>
              <w:cnfStyle w:val="000000000000"/>
              <w:rPr>
                <w:lang w:val="pt-BR"/>
              </w:rPr>
            </w:pPr>
            <w:r w:rsidRPr="00A71535">
              <w:rPr>
                <w:rFonts w:eastAsia="Georgia" w:cs="Georgia"/>
                <w:color w:val="auto"/>
                <w:szCs w:val="20"/>
                <w:lang w:val="pt-BR"/>
              </w:rPr>
              <w:t>US$ 1.500,00</w:t>
            </w:r>
          </w:p>
        </w:tc>
        <w:tc>
          <w:tcPr>
            <w:tcW w:w="4770" w:type="dxa"/>
          </w:tcPr>
          <w:p w:rsidR="0098776A" w:rsidRPr="00A71535" w:rsidRDefault="00886A44" w:rsidP="00932E6E">
            <w:pPr>
              <w:pStyle w:val="BodyText"/>
              <w:jc w:val="right"/>
              <w:cnfStyle w:val="000000000000"/>
              <w:rPr>
                <w:lang w:val="pt-BR"/>
              </w:rPr>
            </w:pPr>
            <w:r w:rsidRPr="00A71535">
              <w:rPr>
                <w:rFonts w:eastAsia="Georgia" w:cs="Georgia"/>
                <w:color w:val="auto"/>
                <w:szCs w:val="20"/>
                <w:lang w:val="pt-BR"/>
              </w:rPr>
              <w:t>US$ 317.500,00 + US$ 1.500,00 = US$ 319.000</w:t>
            </w:r>
          </w:p>
        </w:tc>
      </w:tr>
    </w:tbl>
    <w:p w:rsidR="00555FE1" w:rsidRPr="00A71535" w:rsidRDefault="00886A44" w:rsidP="00932E6E">
      <w:pPr>
        <w:pStyle w:val="ListNumber"/>
        <w:rPr>
          <w:lang w:val="pt-BR"/>
        </w:rPr>
      </w:pPr>
      <w:r w:rsidRPr="00A71535">
        <w:rPr>
          <w:rFonts w:eastAsia="Georgia" w:cs="Georgia"/>
          <w:lang w:val="pt-BR"/>
        </w:rPr>
        <w:t xml:space="preserve">Descrevam o efeito de seu plano sobre os visitantes e funcionários </w:t>
      </w:r>
      <w:r w:rsidR="00A150FB" w:rsidRPr="00A71535">
        <w:rPr>
          <w:rFonts w:eastAsia="Georgia" w:cs="Georgia"/>
          <w:lang w:val="pt-BR"/>
        </w:rPr>
        <w:t>do museu. O que será diferente?</w:t>
      </w:r>
    </w:p>
    <w:p w:rsidR="00555FE1" w:rsidRPr="00A71535" w:rsidRDefault="00886A44" w:rsidP="00932E6E">
      <w:pPr>
        <w:pStyle w:val="ListNumber"/>
        <w:rPr>
          <w:lang w:val="pt-BR"/>
        </w:rPr>
      </w:pPr>
      <w:r w:rsidRPr="00A71535">
        <w:rPr>
          <w:rFonts w:eastAsia="Georgia" w:cs="Georgia"/>
          <w:lang w:val="pt-BR"/>
        </w:rPr>
        <w:t xml:space="preserve">Como vocês criaram seu plano? Como vocês decidiram o que era apropriado cortar e o que não </w:t>
      </w:r>
      <w:r w:rsidRPr="00A71535">
        <w:rPr>
          <w:rFonts w:eastAsia="Georgia" w:cs="Georgia"/>
          <w:lang w:val="pt-BR"/>
        </w:rPr>
        <w:br/>
        <w:t>cortar?</w:t>
      </w:r>
    </w:p>
    <w:p w:rsidR="00DC3D52" w:rsidRPr="00A71535" w:rsidRDefault="00AA488E" w:rsidP="00555FE1">
      <w:pPr>
        <w:pStyle w:val="BodyText"/>
        <w:rPr>
          <w:lang w:val="pt-BR"/>
        </w:rPr>
      </w:pPr>
    </w:p>
    <w:p w:rsidR="00636976" w:rsidRPr="00A71535" w:rsidRDefault="00AA488E" w:rsidP="00896DFF">
      <w:pPr>
        <w:ind w:left="360"/>
        <w:rPr>
          <w:lang w:val="pt-BR"/>
        </w:rPr>
      </w:pPr>
    </w:p>
    <w:p w:rsidR="00896DFF" w:rsidRPr="00A71535" w:rsidRDefault="00AA488E" w:rsidP="00896DFF">
      <w:pPr>
        <w:ind w:left="360"/>
        <w:rPr>
          <w:lang w:val="pt-BR"/>
        </w:rPr>
      </w:pPr>
    </w:p>
    <w:p w:rsidR="00896DFF" w:rsidRPr="00A71535" w:rsidRDefault="00AA488E">
      <w:pPr>
        <w:rPr>
          <w:lang w:val="pt-BR"/>
        </w:rPr>
        <w:sectPr w:rsidR="00896DFF" w:rsidRPr="00A71535" w:rsidSect="009B0E4C">
          <w:headerReference w:type="default" r:id="rId8"/>
          <w:footerReference w:type="default" r:id="rId9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</w:p>
    <w:p w:rsidR="00CB1D06" w:rsidRPr="00A71535" w:rsidRDefault="00886A44" w:rsidP="00556120">
      <w:pPr>
        <w:pStyle w:val="BodyText"/>
        <w:rPr>
          <w:b/>
          <w:lang w:val="pt-BR"/>
        </w:rPr>
      </w:pPr>
      <w:r w:rsidRPr="00A71535">
        <w:rPr>
          <w:rFonts w:eastAsia="Georgia" w:cs="Georgia"/>
          <w:b/>
          <w:bCs/>
          <w:lang w:val="pt-BR"/>
        </w:rPr>
        <w:lastRenderedPageBreak/>
        <w:t>Orçamento do museu: Receita e Despesas</w:t>
      </w:r>
    </w:p>
    <w:tbl>
      <w:tblPr>
        <w:tblStyle w:val="DP-Plain1"/>
        <w:tblW w:w="5000" w:type="pct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CellMar>
          <w:top w:w="0" w:type="dxa"/>
          <w:left w:w="14" w:type="dxa"/>
          <w:bottom w:w="0" w:type="dxa"/>
          <w:right w:w="14" w:type="dxa"/>
        </w:tblCellMar>
        <w:tblLook w:val="04A0"/>
      </w:tblPr>
      <w:tblGrid>
        <w:gridCol w:w="4409"/>
        <w:gridCol w:w="1559"/>
        <w:gridCol w:w="3060"/>
      </w:tblGrid>
      <w:tr w:rsidR="00571004" w:rsidRPr="00A71535" w:rsidTr="00A150FB">
        <w:tc>
          <w:tcPr>
            <w:cnfStyle w:val="001000000000"/>
            <w:tcW w:w="4409" w:type="dxa"/>
            <w:shd w:val="clear" w:color="auto" w:fill="F4CACA" w:themeFill="text2" w:themeFillTint="33"/>
          </w:tcPr>
          <w:p w:rsidR="00CB1D06" w:rsidRPr="00A71535" w:rsidRDefault="00886A44" w:rsidP="008449AF">
            <w:pPr>
              <w:pStyle w:val="TableTitle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 w:cs="Arial"/>
                <w:sz w:val="16"/>
                <w:szCs w:val="16"/>
                <w:lang w:val="pt-BR"/>
              </w:rPr>
              <w:t>Receita</w:t>
            </w:r>
            <w:r w:rsidRPr="00A71535">
              <w:rPr>
                <w:rFonts w:eastAsia="Arial" w:cs="Arial"/>
                <w:sz w:val="16"/>
                <w:szCs w:val="16"/>
                <w:lang w:val="pt-BR"/>
              </w:rPr>
              <w:tab/>
            </w:r>
          </w:p>
        </w:tc>
        <w:tc>
          <w:tcPr>
            <w:tcW w:w="1559" w:type="dxa"/>
            <w:shd w:val="clear" w:color="auto" w:fill="F4CACA" w:themeFill="text2" w:themeFillTint="33"/>
          </w:tcPr>
          <w:p w:rsidR="00CB1D06" w:rsidRPr="00A71535" w:rsidRDefault="00886A44" w:rsidP="008449AF">
            <w:pPr>
              <w:pStyle w:val="TableTitle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 w:cs="Arial"/>
                <w:color w:val="auto"/>
                <w:sz w:val="16"/>
                <w:szCs w:val="16"/>
                <w:lang w:val="pt-BR"/>
              </w:rPr>
              <w:t>Orçamento de 1 ano</w:t>
            </w:r>
          </w:p>
        </w:tc>
        <w:tc>
          <w:tcPr>
            <w:tcW w:w="3060" w:type="dxa"/>
            <w:shd w:val="clear" w:color="auto" w:fill="F4CACA" w:themeFill="text2" w:themeFillTint="33"/>
          </w:tcPr>
          <w:p w:rsidR="00CB1D06" w:rsidRPr="00A71535" w:rsidRDefault="00AA488E" w:rsidP="008449AF">
            <w:pPr>
              <w:pStyle w:val="TableTitle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Doações governamentais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35.000</w:t>
            </w:r>
          </w:p>
        </w:tc>
        <w:tc>
          <w:tcPr>
            <w:tcW w:w="3060" w:type="dxa"/>
          </w:tcPr>
          <w:p w:rsidR="00CB1D06" w:rsidRPr="00A71535" w:rsidRDefault="00886A44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Bolsa educacional do governo cobre planejamento e projeto para uma mostra sobre natureza urbana</w:t>
            </w: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Doações de fundações e de empresas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50.000</w:t>
            </w:r>
          </w:p>
        </w:tc>
        <w:tc>
          <w:tcPr>
            <w:tcW w:w="3060" w:type="dxa"/>
          </w:tcPr>
          <w:p w:rsidR="00CB1D06" w:rsidRPr="00A71535" w:rsidRDefault="00886A44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Inclui US$ 25.000 de uma empresa de tecnologia, US$ 25.000 de uma fundação privada de uma família</w:t>
            </w: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Doações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100.000</w:t>
            </w:r>
          </w:p>
        </w:tc>
        <w:tc>
          <w:tcPr>
            <w:tcW w:w="3060" w:type="dxa"/>
          </w:tcPr>
          <w:p w:rsidR="00CB1D06" w:rsidRPr="00A71535" w:rsidRDefault="00886A44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Inclui doações de membros da diretoria, apoiadores do museu e de outros indivíduos</w:t>
            </w: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Vendas de ingressos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125.000</w:t>
            </w:r>
          </w:p>
        </w:tc>
        <w:tc>
          <w:tcPr>
            <w:tcW w:w="3060" w:type="dxa"/>
          </w:tcPr>
          <w:p w:rsidR="00CB1D06" w:rsidRPr="00A71535" w:rsidRDefault="00886A44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Supõe que os ingressos custem US$ 5,00 e que 20.000 sejam vendidos</w:t>
            </w: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Lucros com loja de presentes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7.500</w:t>
            </w:r>
          </w:p>
        </w:tc>
        <w:tc>
          <w:tcPr>
            <w:tcW w:w="3060" w:type="dxa"/>
          </w:tcPr>
          <w:p w:rsidR="00CB1D06" w:rsidRPr="00A71535" w:rsidRDefault="00886A44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Pequenos produtos para venda na loja de presentes do museu</w:t>
            </w: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Evento anual para levantar fundos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60.000</w:t>
            </w:r>
          </w:p>
        </w:tc>
        <w:tc>
          <w:tcPr>
            <w:tcW w:w="3060" w:type="dxa"/>
          </w:tcPr>
          <w:p w:rsidR="00CB1D06" w:rsidRPr="00A71535" w:rsidRDefault="00886A44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Evento anual; faturamento com ingressos e doações no evento</w:t>
            </w: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rPr>
                <w:b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b/>
                <w:bCs/>
                <w:sz w:val="16"/>
                <w:szCs w:val="16"/>
                <w:lang w:val="pt-BR"/>
              </w:rPr>
              <w:t>Receita total</w:t>
            </w:r>
          </w:p>
        </w:tc>
        <w:tc>
          <w:tcPr>
            <w:tcW w:w="1559" w:type="dxa"/>
          </w:tcPr>
          <w:p w:rsidR="00CB1D06" w:rsidRPr="00A71535" w:rsidRDefault="00886A44" w:rsidP="008449AF">
            <w:pPr>
              <w:pStyle w:val="TableTextArial0"/>
              <w:spacing w:before="20" w:after="20"/>
              <w:jc w:val="right"/>
              <w:cnfStyle w:val="000000000000"/>
              <w:rPr>
                <w:b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b/>
                <w:bCs/>
                <w:color w:val="auto"/>
                <w:sz w:val="16"/>
                <w:szCs w:val="16"/>
                <w:lang w:val="pt-BR"/>
              </w:rPr>
              <w:t>US$ 377.500</w:t>
            </w:r>
          </w:p>
        </w:tc>
        <w:tc>
          <w:tcPr>
            <w:tcW w:w="3060" w:type="dxa"/>
          </w:tcPr>
          <w:p w:rsidR="00CB1D06" w:rsidRPr="00A71535" w:rsidRDefault="00AA488E" w:rsidP="008449AF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</w:tbl>
    <w:p w:rsidR="00896DFF" w:rsidRPr="00A71535" w:rsidRDefault="00AA488E" w:rsidP="00D25DBF">
      <w:pPr>
        <w:pStyle w:val="BodyText"/>
        <w:spacing w:after="80" w:line="240" w:lineRule="auto"/>
        <w:rPr>
          <w:sz w:val="16"/>
          <w:szCs w:val="16"/>
          <w:lang w:val="pt-BR"/>
        </w:rPr>
      </w:pPr>
    </w:p>
    <w:tbl>
      <w:tblPr>
        <w:tblStyle w:val="DP-Plain1"/>
        <w:tblW w:w="0" w:type="auto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CellMar>
          <w:top w:w="0" w:type="dxa"/>
          <w:left w:w="14" w:type="dxa"/>
          <w:bottom w:w="0" w:type="dxa"/>
          <w:right w:w="14" w:type="dxa"/>
        </w:tblCellMar>
        <w:tblLook w:val="04A0"/>
      </w:tblPr>
      <w:tblGrid>
        <w:gridCol w:w="4409"/>
        <w:gridCol w:w="1559"/>
        <w:gridCol w:w="3060"/>
      </w:tblGrid>
      <w:tr w:rsidR="00571004" w:rsidRPr="00A71535" w:rsidTr="00A150FB">
        <w:tc>
          <w:tcPr>
            <w:cnfStyle w:val="001000000000"/>
            <w:tcW w:w="4409" w:type="dxa"/>
            <w:shd w:val="clear" w:color="auto" w:fill="F4CACA" w:themeFill="text2" w:themeFillTint="33"/>
          </w:tcPr>
          <w:p w:rsidR="00086540" w:rsidRPr="00A71535" w:rsidRDefault="00886A44" w:rsidP="008449AF">
            <w:pPr>
              <w:pStyle w:val="TableTitle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 w:cs="Arial"/>
                <w:sz w:val="16"/>
                <w:szCs w:val="16"/>
                <w:lang w:val="pt-BR"/>
              </w:rPr>
              <w:t>Despesas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4CACA" w:themeFill="text2" w:themeFillTint="33"/>
          </w:tcPr>
          <w:p w:rsidR="00086540" w:rsidRPr="00A71535" w:rsidRDefault="00AA488E" w:rsidP="0039082C">
            <w:pPr>
              <w:pStyle w:val="TableTextArial0"/>
              <w:spacing w:before="20" w:after="20"/>
              <w:jc w:val="right"/>
              <w:cnfStyle w:val="000000000000"/>
              <w:rPr>
                <w:rFonts w:cstheme="minorBidi"/>
                <w:color w:val="auto"/>
                <w:sz w:val="16"/>
                <w:szCs w:val="16"/>
                <w:lang w:val="pt-B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rFonts w:cstheme="minorBidi"/>
                <w:color w:val="auto"/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8449AF">
            <w:pPr>
              <w:pStyle w:val="TableTextArial0"/>
              <w:spacing w:before="20" w:after="20"/>
              <w:rPr>
                <w:i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i/>
                <w:iCs/>
                <w:sz w:val="16"/>
                <w:szCs w:val="16"/>
                <w:lang w:val="pt-BR"/>
              </w:rPr>
              <w:t>Pessoal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AA488E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Equipe executiva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110.000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Equipe fixa e líderes do programa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70.000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Instalações e manutenção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40.000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Benefícios ao pessoal (férias etc.). 20% dos salários totais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44.000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i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i/>
                <w:iCs/>
                <w:sz w:val="16"/>
                <w:szCs w:val="16"/>
                <w:lang w:val="pt-BR"/>
              </w:rPr>
              <w:t>Edifício e serviços de escritório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AA488E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Eletricidade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5.000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Sistemas de aquecimento e refrigeração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2.500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Apoio ao sistema de segurança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1.500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Software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750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Materiais de escritório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2.400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Telefone/Serviço de internet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1.800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Materiais de limpeza e manutenção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1.500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i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i/>
                <w:iCs/>
                <w:sz w:val="16"/>
                <w:szCs w:val="16"/>
                <w:lang w:val="pt-BR"/>
              </w:rPr>
              <w:t>Mostras e programas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AA488E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Materiais para mostras (papel, roupas, suportes especiais)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9.000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Lanches para programas após escola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1.200</w:t>
            </w:r>
          </w:p>
        </w:tc>
        <w:tc>
          <w:tcPr>
            <w:tcW w:w="3060" w:type="dxa"/>
            <w:vMerge w:val="restart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Aluguel para mostra temporária e itinerante (1 por ano)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10.000</w:t>
            </w:r>
          </w:p>
        </w:tc>
        <w:tc>
          <w:tcPr>
            <w:tcW w:w="3060" w:type="dxa"/>
            <w:vMerge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Iluminação para a mostra, além da iluminação do edifício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750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Criação e impressão dos painéis gráficos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3.000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Projeto e construção da nova mostra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25.000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E658F8">
            <w:pPr>
              <w:pStyle w:val="TableTextArial0"/>
              <w:spacing w:before="20" w:after="20"/>
              <w:rPr>
                <w:i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i/>
                <w:iCs/>
                <w:sz w:val="16"/>
                <w:szCs w:val="16"/>
                <w:lang w:val="pt-BR"/>
              </w:rPr>
              <w:t>Outras operações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AA488E" w:rsidP="00E658F8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Custos a considerar para evento de arrecadação de fundos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10.000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Marketing e relações públicas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15.000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Associação profissional (organizações do museu)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1.600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Viagens para conferências + inscrição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5.000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Seguro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7.500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Diversos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10.000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086540" w:rsidRPr="00A71535" w:rsidRDefault="00886A44" w:rsidP="0039082C">
            <w:pPr>
              <w:pStyle w:val="TableTextArial0"/>
              <w:spacing w:before="20" w:after="20"/>
              <w:rPr>
                <w:b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b/>
                <w:bCs/>
                <w:sz w:val="16"/>
                <w:szCs w:val="16"/>
                <w:lang w:val="pt-BR"/>
              </w:rPr>
              <w:t>Total das despesas</w:t>
            </w:r>
          </w:p>
        </w:tc>
        <w:tc>
          <w:tcPr>
            <w:tcW w:w="1559" w:type="dxa"/>
            <w:tcBorders>
              <w:right w:val="nil"/>
            </w:tcBorders>
          </w:tcPr>
          <w:p w:rsidR="00086540" w:rsidRPr="00A71535" w:rsidRDefault="00886A44" w:rsidP="0039082C">
            <w:pPr>
              <w:pStyle w:val="TableTextArial0"/>
              <w:spacing w:before="20" w:after="20"/>
              <w:jc w:val="right"/>
              <w:cnfStyle w:val="000000000000"/>
              <w:rPr>
                <w:b/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b/>
                <w:bCs/>
                <w:color w:val="auto"/>
                <w:sz w:val="16"/>
                <w:szCs w:val="16"/>
                <w:lang w:val="pt-BR"/>
              </w:rPr>
              <w:t>377.500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086540" w:rsidRPr="00A71535" w:rsidRDefault="00AA488E" w:rsidP="0039082C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</w:tbl>
    <w:p w:rsidR="00086540" w:rsidRPr="00A71535" w:rsidRDefault="00AA488E" w:rsidP="00D25DBF">
      <w:pPr>
        <w:pStyle w:val="BodyText"/>
        <w:spacing w:after="80" w:line="240" w:lineRule="auto"/>
        <w:rPr>
          <w:sz w:val="16"/>
          <w:szCs w:val="16"/>
          <w:lang w:val="pt-BR"/>
        </w:rPr>
      </w:pPr>
    </w:p>
    <w:tbl>
      <w:tblPr>
        <w:tblStyle w:val="DP-Plain1"/>
        <w:tblW w:w="0" w:type="auto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CellMar>
          <w:top w:w="0" w:type="dxa"/>
          <w:left w:w="14" w:type="dxa"/>
          <w:bottom w:w="0" w:type="dxa"/>
          <w:right w:w="14" w:type="dxa"/>
        </w:tblCellMar>
        <w:tblLook w:val="04A0"/>
      </w:tblPr>
      <w:tblGrid>
        <w:gridCol w:w="4409"/>
        <w:gridCol w:w="1559"/>
        <w:gridCol w:w="3060"/>
      </w:tblGrid>
      <w:tr w:rsidR="00571004" w:rsidRPr="00A71535" w:rsidTr="00A150FB">
        <w:tc>
          <w:tcPr>
            <w:cnfStyle w:val="001000000000"/>
            <w:tcW w:w="4409" w:type="dxa"/>
          </w:tcPr>
          <w:p w:rsidR="00F62F13" w:rsidRPr="00A71535" w:rsidRDefault="00886A44" w:rsidP="00F62F13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Folha de exercícios para venda de ingressos</w:t>
            </w:r>
          </w:p>
        </w:tc>
        <w:tc>
          <w:tcPr>
            <w:tcW w:w="1559" w:type="dxa"/>
            <w:tcBorders>
              <w:right w:val="nil"/>
            </w:tcBorders>
          </w:tcPr>
          <w:p w:rsidR="00F62F13" w:rsidRPr="00A71535" w:rsidRDefault="00AA488E" w:rsidP="00F62F13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F62F13" w:rsidRPr="00A71535" w:rsidRDefault="00AA488E" w:rsidP="00F62F13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F62F13" w:rsidRPr="00A71535" w:rsidRDefault="00886A44" w:rsidP="00F62F13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Número de ingressos vendidos</w:t>
            </w:r>
          </w:p>
        </w:tc>
        <w:tc>
          <w:tcPr>
            <w:tcW w:w="1559" w:type="dxa"/>
            <w:tcBorders>
              <w:right w:val="nil"/>
            </w:tcBorders>
          </w:tcPr>
          <w:p w:rsidR="00F62F13" w:rsidRPr="00A71535" w:rsidRDefault="00886A44" w:rsidP="00F62F13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25.000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F62F13" w:rsidRPr="00A71535" w:rsidRDefault="00AA488E" w:rsidP="00F62F13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c>
          <w:tcPr>
            <w:cnfStyle w:val="001000000000"/>
            <w:tcW w:w="4409" w:type="dxa"/>
          </w:tcPr>
          <w:p w:rsidR="00F62F13" w:rsidRPr="00A71535" w:rsidRDefault="00886A44" w:rsidP="00F62F13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Preço do ingresso</w:t>
            </w:r>
          </w:p>
        </w:tc>
        <w:tc>
          <w:tcPr>
            <w:tcW w:w="1559" w:type="dxa"/>
            <w:tcBorders>
              <w:right w:val="nil"/>
            </w:tcBorders>
          </w:tcPr>
          <w:p w:rsidR="00F62F13" w:rsidRPr="00A71535" w:rsidRDefault="00886A44" w:rsidP="00F62F13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5,00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F62F13" w:rsidRPr="00A71535" w:rsidRDefault="00AA488E" w:rsidP="00F62F13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  <w:tr w:rsidR="00571004" w:rsidRPr="00A71535" w:rsidTr="00A150FB">
        <w:trPr>
          <w:trHeight w:val="172"/>
        </w:trPr>
        <w:tc>
          <w:tcPr>
            <w:cnfStyle w:val="001000000000"/>
            <w:tcW w:w="4409" w:type="dxa"/>
          </w:tcPr>
          <w:p w:rsidR="00F62F13" w:rsidRPr="00A71535" w:rsidRDefault="00886A44" w:rsidP="00F62F13">
            <w:pPr>
              <w:pStyle w:val="TableTextArial0"/>
              <w:spacing w:before="20" w:after="2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sz w:val="16"/>
                <w:szCs w:val="16"/>
                <w:lang w:val="pt-BR"/>
              </w:rPr>
              <w:t>Faturamento total com ingressos</w:t>
            </w:r>
          </w:p>
        </w:tc>
        <w:tc>
          <w:tcPr>
            <w:tcW w:w="1559" w:type="dxa"/>
            <w:tcBorders>
              <w:right w:val="nil"/>
            </w:tcBorders>
          </w:tcPr>
          <w:p w:rsidR="00F62F13" w:rsidRPr="00A71535" w:rsidRDefault="00886A44" w:rsidP="00F62F13">
            <w:pPr>
              <w:pStyle w:val="TableTextArial0"/>
              <w:spacing w:before="20" w:after="20"/>
              <w:jc w:val="right"/>
              <w:cnfStyle w:val="000000000000"/>
              <w:rPr>
                <w:sz w:val="16"/>
                <w:szCs w:val="16"/>
                <w:lang w:val="pt-BR"/>
              </w:rPr>
            </w:pPr>
            <w:r w:rsidRPr="00A71535">
              <w:rPr>
                <w:rFonts w:eastAsia="Arial"/>
                <w:color w:val="auto"/>
                <w:sz w:val="16"/>
                <w:szCs w:val="16"/>
                <w:lang w:val="pt-BR"/>
              </w:rPr>
              <w:t>125.000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</w:tcBorders>
          </w:tcPr>
          <w:p w:rsidR="00F62F13" w:rsidRPr="00A71535" w:rsidRDefault="00AA488E" w:rsidP="00F62F13">
            <w:pPr>
              <w:pStyle w:val="TableTextArial0"/>
              <w:spacing w:before="20" w:after="20"/>
              <w:cnfStyle w:val="000000000000"/>
              <w:rPr>
                <w:sz w:val="16"/>
                <w:szCs w:val="16"/>
                <w:lang w:val="pt-BR"/>
              </w:rPr>
            </w:pPr>
          </w:p>
        </w:tc>
      </w:tr>
    </w:tbl>
    <w:p w:rsidR="00F62F13" w:rsidRPr="00A71535" w:rsidRDefault="00AA488E" w:rsidP="00556120">
      <w:pPr>
        <w:pStyle w:val="BodyText"/>
        <w:spacing w:line="240" w:lineRule="auto"/>
        <w:rPr>
          <w:sz w:val="12"/>
          <w:lang w:val="pt-BR"/>
        </w:rPr>
      </w:pPr>
    </w:p>
    <w:sectPr w:rsidR="00F62F13" w:rsidRPr="00A71535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A44" w:rsidRDefault="00886A44" w:rsidP="00571004">
      <w:pPr>
        <w:spacing w:after="0" w:line="240" w:lineRule="auto"/>
      </w:pPr>
      <w:r>
        <w:separator/>
      </w:r>
    </w:p>
  </w:endnote>
  <w:endnote w:type="continuationSeparator" w:id="0">
    <w:p w:rsidR="00886A44" w:rsidRDefault="00886A44" w:rsidP="0057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Pr="00A150FB" w:rsidRDefault="00886A44" w:rsidP="00556120">
    <w:pPr>
      <w:pStyle w:val="Copyright"/>
      <w:rPr>
        <w:sz w:val="14"/>
        <w:szCs w:val="14"/>
        <w:lang w:val="pt-PT"/>
      </w:rPr>
    </w:pPr>
    <w:r w:rsidRPr="00556120">
      <w:rPr>
        <w:rFonts w:eastAsia="Arial"/>
        <w:sz w:val="14"/>
        <w:szCs w:val="14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 w:rsidRPr="00556120">
      <w:rPr>
        <w:noProof/>
        <w:sz w:val="14"/>
        <w:szCs w:val="14"/>
        <w:lang w:val="en-US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120" w:rsidRPr="00556120" w:rsidRDefault="00AA488E" w:rsidP="00556120">
    <w:pPr>
      <w:pStyle w:val="Copyright"/>
      <w:rPr>
        <w:sz w:val="4"/>
        <w:szCs w:val="14"/>
      </w:rPr>
    </w:pPr>
  </w:p>
  <w:p w:rsidR="00896DFF" w:rsidRPr="00A150FB" w:rsidRDefault="00886A44" w:rsidP="00556120">
    <w:pPr>
      <w:pStyle w:val="Copyright"/>
      <w:rPr>
        <w:sz w:val="14"/>
        <w:szCs w:val="14"/>
        <w:lang w:val="pt-PT"/>
      </w:rPr>
    </w:pPr>
    <w:r w:rsidRPr="00556120">
      <w:rPr>
        <w:rFonts w:eastAsia="Arial"/>
        <w:sz w:val="14"/>
        <w:szCs w:val="14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A44" w:rsidRDefault="00886A44" w:rsidP="00571004">
      <w:pPr>
        <w:spacing w:after="0" w:line="240" w:lineRule="auto"/>
      </w:pPr>
      <w:r>
        <w:separator/>
      </w:r>
    </w:p>
  </w:footnote>
  <w:footnote w:type="continuationSeparator" w:id="0">
    <w:p w:rsidR="00886A44" w:rsidRDefault="00886A44" w:rsidP="00571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571004" w:rsidTr="0084517A">
      <w:tc>
        <w:tcPr>
          <w:tcW w:w="5000" w:type="pct"/>
        </w:tcPr>
        <w:p w:rsidR="002F372E" w:rsidRPr="009B5B65" w:rsidRDefault="00AA488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AF5EA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86A44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571004" w:rsidTr="0084517A">
      <w:tc>
        <w:tcPr>
          <w:tcW w:w="5000" w:type="pct"/>
        </w:tcPr>
        <w:p w:rsidR="00896DFF" w:rsidRPr="009B5B65" w:rsidRDefault="00AA488E" w:rsidP="0084517A">
          <w:pPr>
            <w:rPr>
              <w:sz w:val="24"/>
              <w:szCs w:val="24"/>
            </w:rPr>
          </w:pPr>
        </w:p>
      </w:tc>
    </w:tr>
  </w:tbl>
  <w:p w:rsidR="00896DFF" w:rsidRPr="00C55723" w:rsidRDefault="00AA488E" w:rsidP="00896DFF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0FF1BB0"/>
    <w:multiLevelType w:val="hybridMultilevel"/>
    <w:tmpl w:val="B994E4D6"/>
    <w:lvl w:ilvl="0" w:tplc="3920D0E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CD7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DE630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92F7E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B82D6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4F2D3C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7FEA3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28A966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A44765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7A3CC7A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8CFAE0E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DF8C34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43AF6D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B88210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8B9075F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120580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330443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633C753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6A36379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07D4D3B2" w:tentative="1">
      <w:start w:val="1"/>
      <w:numFmt w:val="lowerLetter"/>
      <w:lvlText w:val="%2."/>
      <w:lvlJc w:val="left"/>
      <w:pPr>
        <w:ind w:left="2246" w:hanging="360"/>
      </w:pPr>
    </w:lvl>
    <w:lvl w:ilvl="2" w:tplc="CB284A94" w:tentative="1">
      <w:start w:val="1"/>
      <w:numFmt w:val="lowerRoman"/>
      <w:lvlText w:val="%3."/>
      <w:lvlJc w:val="right"/>
      <w:pPr>
        <w:ind w:left="2966" w:hanging="180"/>
      </w:pPr>
    </w:lvl>
    <w:lvl w:ilvl="3" w:tplc="5EE29FB6" w:tentative="1">
      <w:start w:val="1"/>
      <w:numFmt w:val="decimal"/>
      <w:lvlText w:val="%4."/>
      <w:lvlJc w:val="left"/>
      <w:pPr>
        <w:ind w:left="3686" w:hanging="360"/>
      </w:pPr>
    </w:lvl>
    <w:lvl w:ilvl="4" w:tplc="74544B98" w:tentative="1">
      <w:start w:val="1"/>
      <w:numFmt w:val="lowerLetter"/>
      <w:lvlText w:val="%5."/>
      <w:lvlJc w:val="left"/>
      <w:pPr>
        <w:ind w:left="4406" w:hanging="360"/>
      </w:pPr>
    </w:lvl>
    <w:lvl w:ilvl="5" w:tplc="890ACB04" w:tentative="1">
      <w:start w:val="1"/>
      <w:numFmt w:val="lowerRoman"/>
      <w:lvlText w:val="%6."/>
      <w:lvlJc w:val="right"/>
      <w:pPr>
        <w:ind w:left="5126" w:hanging="180"/>
      </w:pPr>
    </w:lvl>
    <w:lvl w:ilvl="6" w:tplc="DDC8F49E" w:tentative="1">
      <w:start w:val="1"/>
      <w:numFmt w:val="decimal"/>
      <w:lvlText w:val="%7."/>
      <w:lvlJc w:val="left"/>
      <w:pPr>
        <w:ind w:left="5846" w:hanging="360"/>
      </w:pPr>
    </w:lvl>
    <w:lvl w:ilvl="7" w:tplc="0CA45670" w:tentative="1">
      <w:start w:val="1"/>
      <w:numFmt w:val="lowerLetter"/>
      <w:lvlText w:val="%8."/>
      <w:lvlJc w:val="left"/>
      <w:pPr>
        <w:ind w:left="6566" w:hanging="360"/>
      </w:pPr>
    </w:lvl>
    <w:lvl w:ilvl="8" w:tplc="917CD9A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40B4CE3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1E27E5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3F0F85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AB219D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48E4FA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784ADE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C40647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CDEACE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0A0228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EB723C7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4F27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C89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681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FA6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5A2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8F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CA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20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AD52D8B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1BA6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52B6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4E5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E5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926A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E4A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A6D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EFE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9A105C5"/>
    <w:multiLevelType w:val="multilevel"/>
    <w:tmpl w:val="A266CF60"/>
    <w:numStyleLink w:val="PwCListNumbers1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9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1"/>
  </w:num>
  <w:num w:numId="31">
    <w:abstractNumId w:val="1"/>
  </w:num>
  <w:num w:numId="32">
    <w:abstractNumId w:val="33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004"/>
    <w:rsid w:val="00571004"/>
    <w:rsid w:val="00886A44"/>
    <w:rsid w:val="00A150FB"/>
    <w:rsid w:val="00A71535"/>
    <w:rsid w:val="00AA488E"/>
    <w:rsid w:val="00A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D5364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BodyText2"/>
    <w:uiPriority w:val="99"/>
    <w:qFormat/>
    <w:rsid w:val="00CB1D06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CB1D06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1D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1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EC14A-CE03-4402-844B-B07AE92D8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4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agates</cp:lastModifiedBy>
  <cp:revision>2</cp:revision>
  <cp:lastPrinted>2011-08-15T10:00:00Z</cp:lastPrinted>
  <dcterms:created xsi:type="dcterms:W3CDTF">2012-12-26T03:33:00Z</dcterms:created>
  <dcterms:modified xsi:type="dcterms:W3CDTF">2012-12-26T03:33:00Z</dcterms:modified>
</cp:coreProperties>
</file>